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AD8C" w14:textId="77777777" w:rsidR="00DF04A6" w:rsidRPr="00DF04A6" w:rsidRDefault="00EF78AF" w:rsidP="00DF04A6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JAC </w:t>
      </w:r>
      <w:r w:rsidR="00DF04A6" w:rsidRPr="00DF04A6">
        <w:rPr>
          <w:rFonts w:eastAsia="Times New Roman" w:cs="Times New Roman"/>
        </w:rPr>
        <w:t>Florida Accountability Contract Tracking System (FACTS)</w:t>
      </w:r>
      <w:r>
        <w:rPr>
          <w:rFonts w:eastAsia="Times New Roman" w:cs="Times New Roman"/>
        </w:rPr>
        <w:t xml:space="preserve"> Overview</w:t>
      </w:r>
    </w:p>
    <w:p w14:paraId="2DA2A036" w14:textId="77777777" w:rsidR="00DF04A6" w:rsidRDefault="00DF04A6" w:rsidP="00DF04A6">
      <w:pPr>
        <w:spacing w:after="0" w:line="240" w:lineRule="auto"/>
        <w:rPr>
          <w:rFonts w:eastAsia="Times New Roman" w:cs="Times New Roman"/>
        </w:rPr>
      </w:pPr>
    </w:p>
    <w:p w14:paraId="52E914FA" w14:textId="77777777" w:rsidR="00783F63" w:rsidRDefault="00DF04A6" w:rsidP="00783F6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CE1A01">
        <w:rPr>
          <w:rFonts w:eastAsia="Times New Roman" w:cs="Times New Roman"/>
          <w:b/>
        </w:rPr>
        <w:t xml:space="preserve">What </w:t>
      </w:r>
      <w:proofErr w:type="gramStart"/>
      <w:r w:rsidRPr="00CE1A01">
        <w:rPr>
          <w:rFonts w:eastAsia="Times New Roman" w:cs="Times New Roman"/>
          <w:b/>
        </w:rPr>
        <w:t>is</w:t>
      </w:r>
      <w:proofErr w:type="gramEnd"/>
      <w:r w:rsidRPr="00CE1A01">
        <w:rPr>
          <w:rFonts w:eastAsia="Times New Roman" w:cs="Times New Roman"/>
          <w:b/>
        </w:rPr>
        <w:t xml:space="preserve"> FACTS?</w:t>
      </w:r>
    </w:p>
    <w:p w14:paraId="52D6A119" w14:textId="77777777" w:rsidR="00783F63" w:rsidRDefault="00783F63" w:rsidP="00783F63">
      <w:pPr>
        <w:spacing w:after="0" w:line="240" w:lineRule="auto"/>
        <w:ind w:left="720"/>
        <w:rPr>
          <w:rFonts w:eastAsia="Times New Roman" w:cs="Times New Roman"/>
        </w:rPr>
      </w:pPr>
    </w:p>
    <w:p w14:paraId="0EEF139A" w14:textId="1412F104" w:rsidR="00783F63" w:rsidRPr="00783F63" w:rsidRDefault="00783F63" w:rsidP="00783F63">
      <w:pPr>
        <w:spacing w:after="0" w:line="240" w:lineRule="auto"/>
        <w:ind w:left="720"/>
        <w:rPr>
          <w:rFonts w:eastAsia="Times New Roman" w:cs="Times New Roman"/>
          <w:b/>
        </w:rPr>
      </w:pPr>
      <w:r w:rsidRPr="00783F63">
        <w:rPr>
          <w:rFonts w:eastAsia="Times New Roman" w:cs="Times New Roman"/>
        </w:rPr>
        <w:t xml:space="preserve">FACTS is a vital component of the </w:t>
      </w:r>
      <w:hyperlink r:id="rId5" w:history="1">
        <w:r w:rsidR="00B33889">
          <w:rPr>
            <w:rStyle w:val="Hyperlink"/>
            <w:rFonts w:eastAsia="Times New Roman" w:cs="Times New Roman"/>
          </w:rPr>
          <w:t>“Transparency Florida Act,” s. 91, 985, F.S</w:t>
        </w:r>
      </w:hyperlink>
      <w:r w:rsidRPr="00783F63">
        <w:rPr>
          <w:rFonts w:eastAsia="Times New Roman" w:cs="Times New Roman"/>
        </w:rPr>
        <w:t>.</w:t>
      </w:r>
      <w:r w:rsidR="00B33889">
        <w:rPr>
          <w:rFonts w:eastAsia="Times New Roman" w:cs="Times New Roman"/>
        </w:rPr>
        <w:t xml:space="preserve"> </w:t>
      </w:r>
      <w:r w:rsidR="00114A77">
        <w:rPr>
          <w:rFonts w:eastAsia="Times New Roman" w:cs="Times New Roman"/>
        </w:rPr>
        <w:t>DFS developed the database</w:t>
      </w:r>
      <w:r w:rsidR="00B33889">
        <w:rPr>
          <w:rFonts w:eastAsia="Times New Roman" w:cs="Times New Roman"/>
        </w:rPr>
        <w:t xml:space="preserve"> and provides a means to track state contracts by government agencies and gives the public access to contract information. With increased access to contract financial information, contract images, and </w:t>
      </w:r>
      <w:proofErr w:type="gramStart"/>
      <w:r w:rsidR="00B33889">
        <w:rPr>
          <w:rFonts w:eastAsia="Times New Roman" w:cs="Times New Roman"/>
        </w:rPr>
        <w:t>audit</w:t>
      </w:r>
      <w:proofErr w:type="gramEnd"/>
      <w:r w:rsidR="00B33889">
        <w:rPr>
          <w:rFonts w:eastAsia="Times New Roman" w:cs="Times New Roman"/>
        </w:rPr>
        <w:t xml:space="preserve"> findings of grant and contract documents, the public will realize greater accountability and transparency regarding</w:t>
      </w:r>
      <w:r w:rsidRPr="00783F63">
        <w:rPr>
          <w:rFonts w:eastAsia="Times New Roman" w:cs="Times New Roman"/>
        </w:rPr>
        <w:t xml:space="preserve"> how their tax dollars are being used. </w:t>
      </w:r>
    </w:p>
    <w:p w14:paraId="04CFB46B" w14:textId="77777777" w:rsidR="00783F63" w:rsidRPr="00783F63" w:rsidRDefault="00783F63" w:rsidP="00783F63">
      <w:pPr>
        <w:pStyle w:val="ListParagraph"/>
        <w:spacing w:after="0" w:line="240" w:lineRule="auto"/>
        <w:ind w:left="1080"/>
        <w:rPr>
          <w:rFonts w:eastAsia="Times New Roman" w:cs="Times New Roman"/>
          <w:b/>
        </w:rPr>
      </w:pPr>
    </w:p>
    <w:p w14:paraId="2F492C90" w14:textId="77777777" w:rsidR="00783F63" w:rsidRDefault="00DF04A6" w:rsidP="00783F63">
      <w:pPr>
        <w:pStyle w:val="ListParagraph"/>
        <w:numPr>
          <w:ilvl w:val="0"/>
          <w:numId w:val="7"/>
        </w:numPr>
        <w:rPr>
          <w:rFonts w:eastAsia="Times New Roman" w:cs="Times New Roman"/>
          <w:b/>
        </w:rPr>
      </w:pPr>
      <w:r w:rsidRPr="00783F63">
        <w:rPr>
          <w:rFonts w:eastAsia="Times New Roman" w:cs="Times New Roman"/>
          <w:b/>
        </w:rPr>
        <w:t>What is required to be entered?</w:t>
      </w:r>
      <w:r w:rsidR="00783F63" w:rsidRPr="00783F63">
        <w:rPr>
          <w:rFonts w:eastAsia="Times New Roman" w:cs="Times New Roman"/>
          <w:b/>
        </w:rPr>
        <w:t xml:space="preserve"> </w:t>
      </w:r>
    </w:p>
    <w:p w14:paraId="253F52ED" w14:textId="2EDED8FE" w:rsidR="00783F63" w:rsidRDefault="00783F63" w:rsidP="00783F63">
      <w:pPr>
        <w:ind w:left="720"/>
        <w:rPr>
          <w:rFonts w:eastAsia="Times New Roman" w:cs="Times New Roman"/>
        </w:rPr>
      </w:pPr>
      <w:r w:rsidRPr="00783F63">
        <w:rPr>
          <w:rFonts w:eastAsia="Times New Roman" w:cs="Times New Roman"/>
        </w:rPr>
        <w:t xml:space="preserve">Any written agreement between two or more parties with financial consideration. The </w:t>
      </w:r>
      <w:r w:rsidR="009E001B">
        <w:rPr>
          <w:rFonts w:eastAsia="Times New Roman" w:cs="Times New Roman"/>
        </w:rPr>
        <w:t xml:space="preserve">agreement must contain the </w:t>
      </w:r>
      <w:r w:rsidR="00114A77">
        <w:rPr>
          <w:rFonts w:eastAsia="Times New Roman" w:cs="Times New Roman"/>
        </w:rPr>
        <w:t>signatures</w:t>
      </w:r>
      <w:r w:rsidR="00114A77">
        <w:rPr>
          <w:rFonts w:eastAsia="Times New Roman" w:cs="Times New Roman"/>
        </w:rPr>
        <w:t xml:space="preserve"> </w:t>
      </w:r>
      <w:r w:rsidR="009E001B">
        <w:rPr>
          <w:rFonts w:eastAsia="Times New Roman" w:cs="Times New Roman"/>
        </w:rPr>
        <w:t>of both</w:t>
      </w:r>
      <w:r w:rsidRPr="00783F63">
        <w:rPr>
          <w:rFonts w:eastAsia="Times New Roman" w:cs="Times New Roman"/>
        </w:rPr>
        <w:t xml:space="preserve"> parties. </w:t>
      </w:r>
      <w:r w:rsidRPr="00114A77">
        <w:rPr>
          <w:rFonts w:eastAsia="Times New Roman" w:cs="Times New Roman"/>
          <w:b/>
        </w:rPr>
        <w:t xml:space="preserve">Only contracts that </w:t>
      </w:r>
      <w:r w:rsidR="00C42C40" w:rsidRPr="00114A77">
        <w:rPr>
          <w:rFonts w:eastAsia="Times New Roman" w:cs="Times New Roman"/>
          <w:b/>
        </w:rPr>
        <w:t>pay</w:t>
      </w:r>
      <w:r w:rsidRPr="00114A77">
        <w:rPr>
          <w:rFonts w:eastAsia="Times New Roman" w:cs="Times New Roman"/>
          <w:b/>
        </w:rPr>
        <w:t xml:space="preserve"> or receive state funds must be entered</w:t>
      </w:r>
      <w:r w:rsidRPr="00783F63">
        <w:rPr>
          <w:rFonts w:eastAsia="Times New Roman" w:cs="Times New Roman"/>
        </w:rPr>
        <w:t xml:space="preserve">. Sensitive case-related contracts that could reveal attorney work product or strategy are exempt, per s. 215.985(14)(h)(2)(j), F.S.  </w:t>
      </w:r>
    </w:p>
    <w:p w14:paraId="095D13EF" w14:textId="36375141" w:rsidR="00783F63" w:rsidRPr="009E001B" w:rsidRDefault="009E001B" w:rsidP="009E001B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vendor’s service agreement that only requires the </w:t>
      </w:r>
      <w:r w:rsidR="00114A77">
        <w:rPr>
          <w:rFonts w:eastAsia="Times New Roman" w:cs="Times New Roman"/>
        </w:rPr>
        <w:t>JRO's</w:t>
      </w:r>
      <w:r w:rsidR="00114A7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signature is not a 2-party agreement and does not require entry info FACTS.   </w:t>
      </w:r>
    </w:p>
    <w:p w14:paraId="52D27663" w14:textId="77777777" w:rsidR="00783F63" w:rsidRPr="00FC5B58" w:rsidRDefault="0079140C" w:rsidP="00783F63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783F63">
        <w:rPr>
          <w:rFonts w:eastAsia="Times New Roman" w:cs="Times New Roman"/>
          <w:b/>
        </w:rPr>
        <w:t>How is a contract added to FACTS?</w:t>
      </w:r>
    </w:p>
    <w:p w14:paraId="6F14A780" w14:textId="77777777" w:rsidR="008367AD" w:rsidRPr="00783F63" w:rsidRDefault="008367AD" w:rsidP="00FC5B58">
      <w:pPr>
        <w:pStyle w:val="ListParagraph"/>
        <w:rPr>
          <w:rFonts w:eastAsia="Times New Roman" w:cs="Times New Roman"/>
        </w:rPr>
      </w:pPr>
    </w:p>
    <w:p w14:paraId="066ADD27" w14:textId="0335014F" w:rsidR="00C42C40" w:rsidRDefault="00C42C40" w:rsidP="00783F63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 w:rsidRPr="00783F63">
        <w:rPr>
          <w:rFonts w:eastAsia="Times New Roman" w:cs="Times New Roman"/>
        </w:rPr>
        <w:t>Email the executed contract</w:t>
      </w:r>
      <w:r>
        <w:rPr>
          <w:rFonts w:eastAsia="Times New Roman" w:cs="Times New Roman"/>
        </w:rPr>
        <w:t xml:space="preserve"> </w:t>
      </w:r>
      <w:r w:rsidRPr="00783F63">
        <w:rPr>
          <w:rFonts w:eastAsia="Times New Roman" w:cs="Times New Roman"/>
        </w:rPr>
        <w:t xml:space="preserve">to </w:t>
      </w:r>
      <w:hyperlink r:id="rId6" w:history="1">
        <w:r w:rsidRPr="00783F63">
          <w:rPr>
            <w:rFonts w:eastAsia="Times New Roman" w:cs="Times New Roman"/>
            <w:color w:val="0563C1" w:themeColor="hyperlink"/>
            <w:u w:val="single"/>
          </w:rPr>
          <w:t>financialservices@justiceadmin.org</w:t>
        </w:r>
      </w:hyperlink>
      <w:r w:rsidRPr="00783F63">
        <w:rPr>
          <w:rFonts w:eastAsia="Times New Roman" w:cs="Times New Roman"/>
        </w:rPr>
        <w:t xml:space="preserve">. To expedite </w:t>
      </w:r>
      <w:proofErr w:type="gramStart"/>
      <w:r w:rsidRPr="00783F63">
        <w:rPr>
          <w:rFonts w:eastAsia="Times New Roman" w:cs="Times New Roman"/>
        </w:rPr>
        <w:t>the entry</w:t>
      </w:r>
      <w:proofErr w:type="gramEnd"/>
      <w:r w:rsidRPr="00783F63">
        <w:rPr>
          <w:rFonts w:eastAsia="Times New Roman" w:cs="Times New Roman"/>
        </w:rPr>
        <w:t xml:space="preserve"> into FACTS, provide the following:</w:t>
      </w:r>
    </w:p>
    <w:p w14:paraId="4CB2DA30" w14:textId="77777777" w:rsidR="00C42C40" w:rsidRDefault="00C42C40" w:rsidP="00C42C40">
      <w:pPr>
        <w:pStyle w:val="ListParagraph"/>
        <w:numPr>
          <w:ilvl w:val="2"/>
          <w:numId w:val="19"/>
        </w:numPr>
        <w:spacing w:after="0" w:line="240" w:lineRule="auto"/>
        <w:ind w:left="1440" w:hanging="360"/>
        <w:rPr>
          <w:rFonts w:eastAsia="Times New Roman" w:cs="Times New Roman"/>
        </w:rPr>
      </w:pPr>
      <w:r w:rsidRPr="00783F63">
        <w:rPr>
          <w:rFonts w:eastAsia="Times New Roman" w:cs="Times New Roman"/>
        </w:rPr>
        <w:t>The FEIN for the other contract party (i.e., vendor or grantor)</w:t>
      </w:r>
      <w:r w:rsidR="00786775">
        <w:rPr>
          <w:rFonts w:eastAsia="Times New Roman" w:cs="Times New Roman"/>
        </w:rPr>
        <w:t>.</w:t>
      </w:r>
    </w:p>
    <w:p w14:paraId="0469460C" w14:textId="77777777" w:rsidR="00595B13" w:rsidRPr="00595B13" w:rsidRDefault="00C42C40" w:rsidP="00595B13">
      <w:pPr>
        <w:pStyle w:val="ListParagraph"/>
        <w:numPr>
          <w:ilvl w:val="2"/>
          <w:numId w:val="19"/>
        </w:numPr>
        <w:spacing w:after="0" w:line="240" w:lineRule="auto"/>
        <w:ind w:left="1440" w:hanging="360"/>
        <w:rPr>
          <w:rFonts w:eastAsia="Times New Roman" w:cs="Times New Roman"/>
        </w:rPr>
      </w:pPr>
      <w:r w:rsidRPr="00783F63">
        <w:rPr>
          <w:rFonts w:eastAsia="Times New Roman" w:cs="Times New Roman"/>
        </w:rPr>
        <w:t>Start and end dates of the contract</w:t>
      </w:r>
      <w:r w:rsidR="00786775">
        <w:rPr>
          <w:rFonts w:eastAsia="Times New Roman" w:cs="Times New Roman"/>
        </w:rPr>
        <w:t>.</w:t>
      </w:r>
    </w:p>
    <w:p w14:paraId="55B0EF55" w14:textId="77777777" w:rsidR="00C42C40" w:rsidRDefault="00C42C40" w:rsidP="00C42C40">
      <w:pPr>
        <w:pStyle w:val="ListParagraph"/>
        <w:numPr>
          <w:ilvl w:val="2"/>
          <w:numId w:val="19"/>
        </w:numPr>
        <w:spacing w:after="0" w:line="240" w:lineRule="auto"/>
        <w:ind w:left="1440" w:hanging="360"/>
        <w:rPr>
          <w:rFonts w:eastAsia="Times New Roman" w:cs="Times New Roman"/>
        </w:rPr>
      </w:pPr>
      <w:r w:rsidRPr="00783F63">
        <w:rPr>
          <w:rFonts w:eastAsia="Times New Roman" w:cs="Times New Roman"/>
        </w:rPr>
        <w:t>The fund(s) that will make payments (i.e., General Revenue or Grants and Donations Trust Fund)</w:t>
      </w:r>
      <w:r w:rsidR="00786775">
        <w:rPr>
          <w:rFonts w:eastAsia="Times New Roman" w:cs="Times New Roman"/>
        </w:rPr>
        <w:t>.</w:t>
      </w:r>
    </w:p>
    <w:p w14:paraId="7FDA79D3" w14:textId="77777777" w:rsidR="00783F63" w:rsidRDefault="0079140C" w:rsidP="00C42C40">
      <w:pPr>
        <w:pStyle w:val="ListParagraph"/>
        <w:numPr>
          <w:ilvl w:val="2"/>
          <w:numId w:val="19"/>
        </w:numPr>
        <w:spacing w:after="0" w:line="240" w:lineRule="auto"/>
        <w:ind w:left="1440" w:hanging="360"/>
        <w:rPr>
          <w:rFonts w:eastAsia="Times New Roman" w:cs="Times New Roman"/>
        </w:rPr>
      </w:pPr>
      <w:r w:rsidRPr="00783F63">
        <w:rPr>
          <w:rFonts w:eastAsia="Times New Roman" w:cs="Times New Roman"/>
        </w:rPr>
        <w:t>The category(s) t</w:t>
      </w:r>
      <w:r w:rsidR="009E001B">
        <w:rPr>
          <w:rFonts w:eastAsia="Times New Roman" w:cs="Times New Roman"/>
        </w:rPr>
        <w:t>o</w:t>
      </w:r>
      <w:r w:rsidRPr="00783F63">
        <w:rPr>
          <w:rFonts w:eastAsia="Times New Roman" w:cs="Times New Roman"/>
        </w:rPr>
        <w:t xml:space="preserve"> use for payments (Operations or Due Process)</w:t>
      </w:r>
      <w:r w:rsidR="00786775">
        <w:rPr>
          <w:rFonts w:eastAsia="Times New Roman" w:cs="Times New Roman"/>
        </w:rPr>
        <w:t>.</w:t>
      </w:r>
    </w:p>
    <w:p w14:paraId="7B808DB5" w14:textId="77777777" w:rsidR="008367AD" w:rsidRDefault="008367AD" w:rsidP="00FC5B58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0DC954EA" w14:textId="237FED3F" w:rsidR="00C42C40" w:rsidRDefault="00DA5178" w:rsidP="00783F63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JAC’s </w:t>
      </w:r>
      <w:r w:rsidR="00C42C40">
        <w:rPr>
          <w:rFonts w:eastAsia="Times New Roman" w:cs="Times New Roman"/>
        </w:rPr>
        <w:t>Financial Services will enter the contract</w:t>
      </w:r>
      <w:r w:rsidR="00B33889">
        <w:rPr>
          <w:rFonts w:eastAsia="Times New Roman" w:cs="Times New Roman"/>
        </w:rPr>
        <w:t>,</w:t>
      </w:r>
      <w:r w:rsidR="00C42C40">
        <w:rPr>
          <w:rFonts w:eastAsia="Times New Roman" w:cs="Times New Roman"/>
        </w:rPr>
        <w:t xml:space="preserve"> respond to the email</w:t>
      </w:r>
      <w:r w:rsidR="00B33889">
        <w:rPr>
          <w:rFonts w:eastAsia="Times New Roman" w:cs="Times New Roman"/>
        </w:rPr>
        <w:t>,</w:t>
      </w:r>
      <w:r w:rsidR="00C42C40">
        <w:rPr>
          <w:rFonts w:eastAsia="Times New Roman" w:cs="Times New Roman"/>
        </w:rPr>
        <w:t xml:space="preserve"> and provide</w:t>
      </w:r>
      <w:r w:rsidR="009E001B">
        <w:rPr>
          <w:rFonts w:eastAsia="Times New Roman" w:cs="Times New Roman"/>
        </w:rPr>
        <w:t xml:space="preserve"> the following</w:t>
      </w:r>
      <w:r w:rsidR="00C42C40">
        <w:rPr>
          <w:rFonts w:eastAsia="Times New Roman" w:cs="Times New Roman"/>
        </w:rPr>
        <w:t>:</w:t>
      </w:r>
    </w:p>
    <w:p w14:paraId="7FCB47BB" w14:textId="7DBD508B" w:rsidR="00C42C40" w:rsidRDefault="00114A77" w:rsidP="00C42C40">
      <w:pPr>
        <w:pStyle w:val="ListParagraph"/>
        <w:numPr>
          <w:ilvl w:val="0"/>
          <w:numId w:val="20"/>
        </w:numPr>
        <w:spacing w:after="0" w:line="240" w:lineRule="auto"/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The</w:t>
      </w:r>
      <w:r>
        <w:rPr>
          <w:rFonts w:eastAsia="Times New Roman" w:cs="Times New Roman"/>
        </w:rPr>
        <w:t xml:space="preserve"> </w:t>
      </w:r>
      <w:r w:rsidR="00C42C40">
        <w:rPr>
          <w:rFonts w:eastAsia="Times New Roman" w:cs="Times New Roman"/>
        </w:rPr>
        <w:t xml:space="preserve">5-digit FLAIR Contract ID for payments or the 5-digit Grant Award ID for revenue contracts.  </w:t>
      </w:r>
    </w:p>
    <w:p w14:paraId="348BD003" w14:textId="77777777" w:rsidR="00C42C40" w:rsidRDefault="00C42C40" w:rsidP="00C42C40">
      <w:pPr>
        <w:pStyle w:val="ListParagraph"/>
        <w:numPr>
          <w:ilvl w:val="0"/>
          <w:numId w:val="20"/>
        </w:numPr>
        <w:spacing w:after="0" w:line="240" w:lineRule="auto"/>
        <w:ind w:left="1440"/>
        <w:rPr>
          <w:rFonts w:eastAsia="Times New Roman" w:cs="Times New Roman"/>
        </w:rPr>
      </w:pPr>
      <w:r>
        <w:rPr>
          <w:rFonts w:eastAsia="Times New Roman" w:cs="Times New Roman"/>
        </w:rPr>
        <w:t>A link to the contract record in FACTS</w:t>
      </w:r>
      <w:r w:rsidR="00786775">
        <w:rPr>
          <w:rFonts w:eastAsia="Times New Roman" w:cs="Times New Roman"/>
        </w:rPr>
        <w:t>.</w:t>
      </w:r>
    </w:p>
    <w:p w14:paraId="12FF63FF" w14:textId="77777777" w:rsidR="008367AD" w:rsidRDefault="008367AD" w:rsidP="00FC5B58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6AABF664" w14:textId="0145C93B" w:rsidR="00DA5178" w:rsidRDefault="00DA5178" w:rsidP="00DA5178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Does each </w:t>
      </w:r>
      <w:r w:rsidR="00310425">
        <w:rPr>
          <w:rFonts w:eastAsia="Times New Roman" w:cs="Times New Roman"/>
        </w:rPr>
        <w:t xml:space="preserve">annual </w:t>
      </w:r>
      <w:r>
        <w:rPr>
          <w:rFonts w:eastAsia="Times New Roman" w:cs="Times New Roman"/>
        </w:rPr>
        <w:t>revenue contract need to be entered? Yes</w:t>
      </w:r>
      <w:r w:rsidR="00B33889">
        <w:rPr>
          <w:rFonts w:eastAsia="Times New Roman" w:cs="Times New Roman"/>
        </w:rPr>
        <w:t xml:space="preserve">, including VOCA and </w:t>
      </w:r>
      <w:r w:rsidR="00114A77">
        <w:rPr>
          <w:rFonts w:eastAsia="Times New Roman" w:cs="Times New Roman"/>
        </w:rPr>
        <w:t>VAWA</w:t>
      </w:r>
      <w:r w:rsidR="00B33889">
        <w:rPr>
          <w:rFonts w:eastAsia="Times New Roman" w:cs="Times New Roman"/>
        </w:rPr>
        <w:t>.</w:t>
      </w:r>
    </w:p>
    <w:p w14:paraId="6218427A" w14:textId="77777777" w:rsidR="00310425" w:rsidRDefault="00310425" w:rsidP="00310425">
      <w:pPr>
        <w:spacing w:after="0" w:line="240" w:lineRule="auto"/>
        <w:ind w:left="1080"/>
        <w:rPr>
          <w:rFonts w:eastAsia="Times New Roman" w:cs="Times New Roman"/>
        </w:rPr>
      </w:pPr>
    </w:p>
    <w:p w14:paraId="57BB2E97" w14:textId="207DD185" w:rsidR="00DA5178" w:rsidRPr="008367AD" w:rsidRDefault="00DA5178" w:rsidP="008367AD">
      <w:pPr>
        <w:spacing w:after="0" w:line="240" w:lineRule="auto"/>
        <w:ind w:left="1080"/>
        <w:rPr>
          <w:rFonts w:eastAsia="Times New Roman" w:cs="Times New Roman"/>
        </w:rPr>
      </w:pPr>
      <w:r w:rsidRPr="008367AD">
        <w:rPr>
          <w:rFonts w:eastAsia="Times New Roman" w:cs="Times New Roman"/>
        </w:rPr>
        <w:t xml:space="preserve">Previously, JAC tried to enter one statewide contract record for the VOCA and VAWA yearly agreements. However, the process to enter one each year never worked smoothly and </w:t>
      </w:r>
      <w:r w:rsidR="008367AD">
        <w:rPr>
          <w:rFonts w:eastAsia="Times New Roman" w:cs="Times New Roman"/>
        </w:rPr>
        <w:t xml:space="preserve">didn’t </w:t>
      </w:r>
      <w:r w:rsidRPr="008367AD">
        <w:rPr>
          <w:rFonts w:eastAsia="Times New Roman" w:cs="Times New Roman"/>
        </w:rPr>
        <w:t xml:space="preserve">follow the guidance provided. </w:t>
      </w:r>
      <w:r w:rsidR="00B33889">
        <w:rPr>
          <w:rFonts w:eastAsia="Times New Roman" w:cs="Times New Roman"/>
        </w:rPr>
        <w:t>JAC has discontinued the process.</w:t>
      </w:r>
    </w:p>
    <w:p w14:paraId="42F742C1" w14:textId="77777777" w:rsidR="006B686E" w:rsidRDefault="006B686E" w:rsidP="006B686E">
      <w:pPr>
        <w:spacing w:after="0" w:line="240" w:lineRule="auto"/>
        <w:rPr>
          <w:rFonts w:eastAsia="Times New Roman" w:cs="Times New Roman"/>
        </w:rPr>
      </w:pPr>
    </w:p>
    <w:p w14:paraId="22C8AF2C" w14:textId="77777777" w:rsidR="008367AD" w:rsidRDefault="008367AD" w:rsidP="001A601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07F4E249" w14:textId="77777777" w:rsidR="001A6014" w:rsidRDefault="006B686E" w:rsidP="001A601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783F63">
        <w:rPr>
          <w:rFonts w:eastAsia="Times New Roman" w:cs="Times New Roman"/>
          <w:b/>
        </w:rPr>
        <w:lastRenderedPageBreak/>
        <w:t xml:space="preserve">Examples </w:t>
      </w:r>
      <w:r w:rsidR="008367AD">
        <w:rPr>
          <w:rFonts w:eastAsia="Times New Roman" w:cs="Times New Roman"/>
          <w:b/>
        </w:rPr>
        <w:t xml:space="preserve">of </w:t>
      </w:r>
      <w:r w:rsidRPr="00783F63">
        <w:rPr>
          <w:rFonts w:eastAsia="Times New Roman" w:cs="Times New Roman"/>
          <w:b/>
        </w:rPr>
        <w:t>contracts added to FACTS?</w:t>
      </w:r>
    </w:p>
    <w:p w14:paraId="5899BFF1" w14:textId="77777777" w:rsidR="008367AD" w:rsidRDefault="008367AD" w:rsidP="00310425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14:paraId="1D656DF3" w14:textId="77777777" w:rsidR="008367AD" w:rsidRDefault="008367AD" w:rsidP="008367AD">
      <w:pPr>
        <w:pStyle w:val="ListParagraph"/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Expenditure Contracts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  <w:t xml:space="preserve">         Revenue Contracts</w:t>
      </w:r>
    </w:p>
    <w:p w14:paraId="5737BE3F" w14:textId="77777777" w:rsidR="008367AD" w:rsidRDefault="008367AD" w:rsidP="00310425">
      <w:pPr>
        <w:spacing w:after="0" w:line="240" w:lineRule="auto"/>
        <w:ind w:left="720"/>
        <w:rPr>
          <w:rFonts w:eastAsia="Times New Roman" w:cs="Times New Roman"/>
        </w:rPr>
        <w:sectPr w:rsidR="008367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8A4EDB" w14:textId="77777777" w:rsidR="00C42C40" w:rsidRPr="008367AD" w:rsidRDefault="00C42C40" w:rsidP="008367AD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</w:rPr>
      </w:pPr>
      <w:r w:rsidRPr="008367AD">
        <w:rPr>
          <w:rFonts w:eastAsia="Times New Roman" w:cs="Times New Roman"/>
        </w:rPr>
        <w:t>Postage meters and mailing systems</w:t>
      </w:r>
    </w:p>
    <w:p w14:paraId="24FFE47A" w14:textId="77777777" w:rsidR="00C42C40" w:rsidRPr="008367AD" w:rsidRDefault="00C42C40" w:rsidP="008367AD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</w:rPr>
      </w:pPr>
      <w:r w:rsidRPr="008367AD">
        <w:rPr>
          <w:rFonts w:eastAsia="Times New Roman" w:cs="Times New Roman"/>
        </w:rPr>
        <w:t xml:space="preserve">Copier leases (when a signed </w:t>
      </w:r>
      <w:r w:rsidR="008367AD" w:rsidRPr="008367AD">
        <w:rPr>
          <w:rFonts w:eastAsia="Times New Roman" w:cs="Times New Roman"/>
        </w:rPr>
        <w:t>a</w:t>
      </w:r>
      <w:r w:rsidRPr="008367AD">
        <w:rPr>
          <w:rFonts w:eastAsia="Times New Roman" w:cs="Times New Roman"/>
        </w:rPr>
        <w:t>greement is executed)</w:t>
      </w:r>
    </w:p>
    <w:p w14:paraId="07ECE9A6" w14:textId="77777777" w:rsidR="00C42C40" w:rsidRPr="008367AD" w:rsidRDefault="00C42C40" w:rsidP="008367AD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</w:rPr>
      </w:pPr>
      <w:r w:rsidRPr="008367AD">
        <w:rPr>
          <w:rFonts w:eastAsia="Times New Roman" w:cs="Times New Roman"/>
        </w:rPr>
        <w:t>BOMS agreements</w:t>
      </w:r>
    </w:p>
    <w:p w14:paraId="26CC4A2A" w14:textId="77777777" w:rsidR="00C42C40" w:rsidRPr="008367AD" w:rsidRDefault="00C42C40" w:rsidP="008367AD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="Times New Roman"/>
        </w:rPr>
      </w:pPr>
      <w:r w:rsidRPr="008367AD">
        <w:rPr>
          <w:rFonts w:eastAsia="Times New Roman" w:cs="Times New Roman"/>
        </w:rPr>
        <w:t>Office space leases</w:t>
      </w:r>
    </w:p>
    <w:p w14:paraId="06460454" w14:textId="77777777" w:rsidR="008367AD" w:rsidRPr="008367AD" w:rsidRDefault="008367AD" w:rsidP="008367AD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</w:rPr>
      </w:pPr>
      <w:r w:rsidRPr="008367AD">
        <w:rPr>
          <w:rFonts w:eastAsia="Times New Roman" w:cs="Times New Roman"/>
        </w:rPr>
        <w:t>DCF Title IV-E agreements</w:t>
      </w:r>
    </w:p>
    <w:p w14:paraId="4720C08A" w14:textId="77777777" w:rsidR="008367AD" w:rsidRPr="008367AD" w:rsidRDefault="008367AD" w:rsidP="008367AD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</w:rPr>
      </w:pPr>
      <w:r w:rsidRPr="008367AD">
        <w:rPr>
          <w:rFonts w:eastAsia="Times New Roman" w:cs="Times New Roman"/>
        </w:rPr>
        <w:t>VOCA</w:t>
      </w:r>
    </w:p>
    <w:p w14:paraId="4E87468C" w14:textId="77777777" w:rsidR="008367AD" w:rsidRPr="008367AD" w:rsidRDefault="008367AD" w:rsidP="008367AD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</w:rPr>
      </w:pPr>
      <w:r w:rsidRPr="008367AD">
        <w:rPr>
          <w:rFonts w:eastAsia="Times New Roman" w:cs="Times New Roman"/>
        </w:rPr>
        <w:t>VAWA</w:t>
      </w:r>
    </w:p>
    <w:p w14:paraId="36AA4F96" w14:textId="77777777" w:rsidR="008367AD" w:rsidRPr="00C90408" w:rsidRDefault="008367AD" w:rsidP="008367AD">
      <w:pPr>
        <w:spacing w:after="0" w:line="240" w:lineRule="auto"/>
        <w:ind w:left="720"/>
        <w:rPr>
          <w:rFonts w:eastAsia="Times New Roman" w:cs="Times New Roman"/>
        </w:rPr>
      </w:pPr>
    </w:p>
    <w:p w14:paraId="3EBC0875" w14:textId="77777777" w:rsidR="008367AD" w:rsidRDefault="008367AD" w:rsidP="008367AD">
      <w:pPr>
        <w:spacing w:after="0" w:line="240" w:lineRule="auto"/>
        <w:rPr>
          <w:rFonts w:eastAsia="Times New Roman" w:cs="Times New Roman"/>
        </w:rPr>
        <w:sectPr w:rsidR="008367AD" w:rsidSect="008367A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4E9D379C" w14:textId="77777777" w:rsidR="002C17DD" w:rsidRDefault="002C17DD" w:rsidP="002C17DD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14:paraId="006B43FA" w14:textId="77777777" w:rsidR="003C0B81" w:rsidRPr="00783F63" w:rsidRDefault="003C0B81" w:rsidP="003C0B8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783F63">
        <w:rPr>
          <w:rFonts w:eastAsia="Times New Roman" w:cs="Times New Roman"/>
          <w:b/>
        </w:rPr>
        <w:t>What information is included in FACTS:</w:t>
      </w:r>
    </w:p>
    <w:p w14:paraId="6F561CA0" w14:textId="70995AB3" w:rsidR="008367AD" w:rsidRPr="00114A77" w:rsidRDefault="00B33889" w:rsidP="00114A77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Disbursement and Revenue c</w:t>
      </w:r>
      <w:r w:rsidR="00DF04A6">
        <w:rPr>
          <w:rFonts w:eastAsia="Times New Roman" w:cs="Times New Roman"/>
        </w:rPr>
        <w:t>ontract</w:t>
      </w:r>
      <w:r>
        <w:rPr>
          <w:rFonts w:eastAsia="Times New Roman" w:cs="Times New Roman"/>
        </w:rPr>
        <w:t>s</w:t>
      </w:r>
      <w:r w:rsidR="0079140C">
        <w:rPr>
          <w:rFonts w:eastAsia="Times New Roman" w:cs="Times New Roman"/>
        </w:rPr>
        <w:t xml:space="preserve"> and any amendment or extension documents</w:t>
      </w:r>
      <w:r w:rsidR="006B686E">
        <w:rPr>
          <w:rFonts w:eastAsia="Times New Roman" w:cs="Times New Roman"/>
        </w:rPr>
        <w:t xml:space="preserve">. Signatures and </w:t>
      </w:r>
      <w:r w:rsidR="005C2E95">
        <w:rPr>
          <w:rFonts w:eastAsia="Times New Roman" w:cs="Times New Roman"/>
        </w:rPr>
        <w:t xml:space="preserve">other </w:t>
      </w:r>
      <w:r w:rsidR="006B686E">
        <w:rPr>
          <w:rFonts w:eastAsia="Times New Roman" w:cs="Times New Roman"/>
        </w:rPr>
        <w:t>sensitive information</w:t>
      </w:r>
      <w:r w:rsidR="005C2E95">
        <w:rPr>
          <w:rFonts w:eastAsia="Times New Roman" w:cs="Times New Roman"/>
        </w:rPr>
        <w:t>,</w:t>
      </w:r>
      <w:r w:rsidR="006B686E">
        <w:rPr>
          <w:rFonts w:eastAsia="Times New Roman" w:cs="Times New Roman"/>
        </w:rPr>
        <w:t xml:space="preserve"> such as account numbers, federal ID</w:t>
      </w:r>
      <w:r w:rsidR="005C2E95">
        <w:rPr>
          <w:rFonts w:eastAsia="Times New Roman" w:cs="Times New Roman"/>
        </w:rPr>
        <w:t xml:space="preserve"> numbers, and emails</w:t>
      </w:r>
      <w:r w:rsidR="009E001B">
        <w:rPr>
          <w:rFonts w:eastAsia="Times New Roman" w:cs="Times New Roman"/>
        </w:rPr>
        <w:t>,</w:t>
      </w:r>
      <w:r w:rsidR="005C2E95">
        <w:rPr>
          <w:rFonts w:eastAsia="Times New Roman" w:cs="Times New Roman"/>
        </w:rPr>
        <w:t xml:space="preserve"> are redacted before posting. </w:t>
      </w:r>
    </w:p>
    <w:p w14:paraId="553E4E20" w14:textId="463969BB" w:rsidR="00B33889" w:rsidRDefault="00595B13" w:rsidP="00B33889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General Description of the contract</w:t>
      </w:r>
      <w:r w:rsidR="00786775">
        <w:rPr>
          <w:rFonts w:eastAsia="Times New Roman" w:cs="Times New Roman"/>
        </w:rPr>
        <w:t>.</w:t>
      </w:r>
    </w:p>
    <w:p w14:paraId="5247F23F" w14:textId="77777777" w:rsidR="00B33889" w:rsidRDefault="00B33889" w:rsidP="003C0B8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Vendor or Grantor for the contracts</w:t>
      </w:r>
    </w:p>
    <w:p w14:paraId="2D2545D0" w14:textId="77777777" w:rsidR="008367AD" w:rsidRPr="00114A77" w:rsidRDefault="008367AD" w:rsidP="00B33889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665E0176" w14:textId="7E9CF355" w:rsidR="0079140C" w:rsidRPr="00FC5B58" w:rsidRDefault="00114A77" w:rsidP="008367A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Revenue</w:t>
      </w:r>
      <w:r w:rsidR="0079140C" w:rsidRPr="00FC5B58">
        <w:rPr>
          <w:rFonts w:eastAsia="Times New Roman" w:cs="Times New Roman"/>
        </w:rPr>
        <w:t xml:space="preserve"> contracts</w:t>
      </w:r>
      <w:r w:rsidR="003C0B81" w:rsidRPr="00FC5B58">
        <w:rPr>
          <w:rFonts w:eastAsia="Times New Roman" w:cs="Times New Roman"/>
        </w:rPr>
        <w:t xml:space="preserve"> </w:t>
      </w:r>
      <w:r w:rsidR="00B33889">
        <w:rPr>
          <w:rFonts w:eastAsia="Times New Roman" w:cs="Times New Roman"/>
        </w:rPr>
        <w:t xml:space="preserve">will </w:t>
      </w:r>
      <w:r w:rsidR="003C0B81" w:rsidRPr="00FC5B58">
        <w:rPr>
          <w:rFonts w:eastAsia="Times New Roman" w:cs="Times New Roman"/>
        </w:rPr>
        <w:t xml:space="preserve">contain </w:t>
      </w:r>
      <w:r w:rsidR="0079140C" w:rsidRPr="00FC5B58">
        <w:rPr>
          <w:rFonts w:eastAsia="Times New Roman" w:cs="Times New Roman"/>
        </w:rPr>
        <w:t xml:space="preserve">the receipts </w:t>
      </w:r>
      <w:r w:rsidR="003C0B81" w:rsidRPr="00FC5B58">
        <w:rPr>
          <w:rFonts w:eastAsia="Times New Roman" w:cs="Times New Roman"/>
        </w:rPr>
        <w:t>received</w:t>
      </w:r>
      <w:r w:rsidR="00B33889">
        <w:rPr>
          <w:rFonts w:eastAsia="Times New Roman" w:cs="Times New Roman"/>
        </w:rPr>
        <w:t xml:space="preserve"> if the FACTS Grant ID is included. All Revenue contracts create a Grant ID.</w:t>
      </w:r>
    </w:p>
    <w:p w14:paraId="3F6B00AE" w14:textId="77777777" w:rsidR="008367AD" w:rsidRDefault="008367AD" w:rsidP="003C0B81">
      <w:pPr>
        <w:spacing w:after="0" w:line="240" w:lineRule="auto"/>
        <w:ind w:left="360" w:firstLine="720"/>
        <w:rPr>
          <w:rFonts w:eastAsia="Times New Roman" w:cs="Times New Roman"/>
        </w:rPr>
      </w:pPr>
    </w:p>
    <w:p w14:paraId="0705F3DF" w14:textId="77777777" w:rsidR="0079140C" w:rsidRPr="003C0B81" w:rsidRDefault="0079140C" w:rsidP="003C0B81">
      <w:pPr>
        <w:spacing w:after="0" w:line="240" w:lineRule="auto"/>
        <w:ind w:left="360" w:firstLine="720"/>
        <w:rPr>
          <w:rFonts w:eastAsia="Times New Roman" w:cs="Times New Roman"/>
        </w:rPr>
      </w:pPr>
      <w:r w:rsidRPr="00CB0AD0">
        <w:rPr>
          <w:noProof/>
        </w:rPr>
        <w:drawing>
          <wp:inline distT="0" distB="0" distL="0" distR="0" wp14:anchorId="24072064" wp14:editId="4072648F">
            <wp:extent cx="5943600" cy="1346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71A1" w14:textId="77777777" w:rsidR="008367AD" w:rsidRPr="00FC5B58" w:rsidRDefault="008367AD" w:rsidP="00FC5B58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0A38E923" w14:textId="0C988253" w:rsidR="0079140C" w:rsidRPr="00FC5B58" w:rsidRDefault="00114A77" w:rsidP="003C0B81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Disbursement</w:t>
      </w:r>
      <w:r w:rsidRPr="00FC5B58">
        <w:rPr>
          <w:rFonts w:eastAsia="Times New Roman" w:cs="Times New Roman"/>
        </w:rPr>
        <w:t xml:space="preserve"> </w:t>
      </w:r>
      <w:r w:rsidR="003C0B81" w:rsidRPr="00FC5B58">
        <w:rPr>
          <w:rFonts w:eastAsia="Times New Roman" w:cs="Times New Roman"/>
        </w:rPr>
        <w:t>contracts contain</w:t>
      </w:r>
      <w:r w:rsidR="0079140C" w:rsidRPr="00FC5B58">
        <w:rPr>
          <w:rFonts w:eastAsia="Times New Roman" w:cs="Times New Roman"/>
        </w:rPr>
        <w:t>:</w:t>
      </w:r>
    </w:p>
    <w:p w14:paraId="4454874E" w14:textId="77777777" w:rsidR="003C0B81" w:rsidRDefault="0079140C" w:rsidP="003C0B8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 w:rsidRPr="003C0B81">
        <w:rPr>
          <w:rFonts w:eastAsia="Times New Roman" w:cs="Times New Roman"/>
        </w:rPr>
        <w:t xml:space="preserve">The deliverable and the related cost </w:t>
      </w:r>
    </w:p>
    <w:p w14:paraId="79D79FE3" w14:textId="145DE4DF" w:rsidR="00DF04A6" w:rsidRDefault="00CB0AD0" w:rsidP="003C0B81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Times New Roman"/>
        </w:rPr>
      </w:pPr>
      <w:r w:rsidRPr="003C0B81">
        <w:rPr>
          <w:rFonts w:eastAsia="Times New Roman" w:cs="Times New Roman"/>
        </w:rPr>
        <w:t>T</w:t>
      </w:r>
      <w:r w:rsidR="00DF04A6" w:rsidRPr="003C0B81">
        <w:rPr>
          <w:rFonts w:eastAsia="Times New Roman" w:cs="Times New Roman"/>
        </w:rPr>
        <w:t xml:space="preserve">he appropriations used for payments and </w:t>
      </w:r>
      <w:r w:rsidR="00B33889">
        <w:rPr>
          <w:rFonts w:eastAsia="Times New Roman" w:cs="Times New Roman"/>
        </w:rPr>
        <w:t>obligations by fiscal year. Below is an excerpt from JAC’s 10-year lease agreement</w:t>
      </w:r>
      <w:r w:rsidR="00DF04A6" w:rsidRPr="003C0B81">
        <w:rPr>
          <w:rFonts w:eastAsia="Times New Roman" w:cs="Times New Roman"/>
        </w:rPr>
        <w:t>.</w:t>
      </w:r>
    </w:p>
    <w:p w14:paraId="601DBE86" w14:textId="77777777" w:rsidR="008367AD" w:rsidRPr="003C0B81" w:rsidRDefault="008367AD" w:rsidP="00FC5B58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0230CA5" w14:textId="77777777" w:rsidR="00CB0AD0" w:rsidRPr="003C0B81" w:rsidRDefault="00CB0AD0" w:rsidP="003C0B81">
      <w:pPr>
        <w:spacing w:after="0" w:line="240" w:lineRule="auto"/>
        <w:ind w:left="720" w:firstLine="720"/>
        <w:rPr>
          <w:rFonts w:eastAsia="Times New Roman" w:cs="Times New Roman"/>
        </w:rPr>
      </w:pPr>
      <w:r w:rsidRPr="00CB0AD0">
        <w:rPr>
          <w:noProof/>
        </w:rPr>
        <w:drawing>
          <wp:inline distT="0" distB="0" distL="0" distR="0" wp14:anchorId="7F889FAE" wp14:editId="3762DF55">
            <wp:extent cx="5482405" cy="227965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246" cy="228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FA59" w14:textId="71220178" w:rsidR="00CB0AD0" w:rsidRPr="003C0B81" w:rsidRDefault="00CB0AD0" w:rsidP="003C0B81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rFonts w:eastAsia="Times New Roman" w:cs="Times New Roman"/>
        </w:rPr>
      </w:pPr>
      <w:r w:rsidRPr="003C0B81">
        <w:rPr>
          <w:rFonts w:eastAsia="Times New Roman" w:cs="Times New Roman"/>
        </w:rPr>
        <w:lastRenderedPageBreak/>
        <w:t>P</w:t>
      </w:r>
      <w:r w:rsidR="00DF04A6" w:rsidRPr="003C0B81">
        <w:rPr>
          <w:rFonts w:eastAsia="Times New Roman" w:cs="Times New Roman"/>
        </w:rPr>
        <w:t>ayment</w:t>
      </w:r>
      <w:r w:rsidRPr="003C0B81">
        <w:rPr>
          <w:rFonts w:eastAsia="Times New Roman" w:cs="Times New Roman"/>
        </w:rPr>
        <w:t xml:space="preserve"> information by fiscal year</w:t>
      </w:r>
      <w:r w:rsidR="00114A77">
        <w:rPr>
          <w:rFonts w:eastAsia="Times New Roman" w:cs="Times New Roman"/>
        </w:rPr>
        <w:t>,</w:t>
      </w:r>
      <w:r w:rsidR="00B33889">
        <w:rPr>
          <w:rFonts w:eastAsia="Times New Roman" w:cs="Times New Roman"/>
        </w:rPr>
        <w:t xml:space="preserve"> if the contract ID is </w:t>
      </w:r>
      <w:r w:rsidR="00910432">
        <w:rPr>
          <w:rFonts w:eastAsia="Times New Roman" w:cs="Times New Roman"/>
        </w:rPr>
        <w:t xml:space="preserve">included </w:t>
      </w:r>
      <w:r w:rsidR="00B33889">
        <w:rPr>
          <w:rFonts w:eastAsia="Times New Roman" w:cs="Times New Roman"/>
        </w:rPr>
        <w:t>when paid</w:t>
      </w:r>
      <w:r w:rsidRPr="003C0B81">
        <w:rPr>
          <w:rFonts w:eastAsia="Times New Roman" w:cs="Times New Roman"/>
        </w:rPr>
        <w:t>. An excerpt from JAC’s lease payments is shown below.</w:t>
      </w:r>
    </w:p>
    <w:p w14:paraId="6C98EB17" w14:textId="77777777" w:rsidR="008367AD" w:rsidRDefault="008367AD" w:rsidP="0079140C">
      <w:pPr>
        <w:pStyle w:val="ListParagraph"/>
        <w:spacing w:after="0" w:line="240" w:lineRule="auto"/>
        <w:ind w:firstLine="720"/>
        <w:rPr>
          <w:rFonts w:eastAsia="Times New Roman" w:cs="Times New Roman"/>
        </w:rPr>
      </w:pPr>
    </w:p>
    <w:p w14:paraId="417FCB7D" w14:textId="77777777" w:rsidR="00CB0AD0" w:rsidRDefault="00CB0AD0" w:rsidP="0079140C">
      <w:pPr>
        <w:pStyle w:val="ListParagraph"/>
        <w:spacing w:after="0" w:line="240" w:lineRule="auto"/>
        <w:ind w:firstLine="720"/>
        <w:rPr>
          <w:rFonts w:eastAsia="Times New Roman" w:cs="Times New Roman"/>
        </w:rPr>
      </w:pPr>
      <w:r w:rsidRPr="00CB0AD0">
        <w:rPr>
          <w:rFonts w:eastAsia="Times New Roman" w:cs="Times New Roman"/>
          <w:noProof/>
        </w:rPr>
        <w:drawing>
          <wp:inline distT="0" distB="0" distL="0" distR="0" wp14:anchorId="671E82F0" wp14:editId="189220D5">
            <wp:extent cx="5399525" cy="1663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7039" cy="167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E573F" w14:textId="77777777" w:rsidR="00595B13" w:rsidRPr="00FC5B58" w:rsidRDefault="00595B13" w:rsidP="00FC5B58">
      <w:pPr>
        <w:spacing w:after="0" w:line="240" w:lineRule="auto"/>
        <w:rPr>
          <w:rFonts w:eastAsia="Times New Roman" w:cs="Times New Roman"/>
          <w:b/>
        </w:rPr>
      </w:pPr>
    </w:p>
    <w:p w14:paraId="6155E7BF" w14:textId="409F5D38" w:rsidR="003C0B81" w:rsidRDefault="005C2E95" w:rsidP="003C0B8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3C0B81">
        <w:rPr>
          <w:rFonts w:eastAsia="Times New Roman" w:cs="Times New Roman"/>
          <w:b/>
        </w:rPr>
        <w:t>How is payment or receipt information added to FLAIR? It’s automatically populated based on</w:t>
      </w:r>
      <w:r w:rsidR="009E001B">
        <w:rPr>
          <w:rFonts w:eastAsia="Times New Roman" w:cs="Times New Roman"/>
          <w:b/>
        </w:rPr>
        <w:t xml:space="preserve"> the following</w:t>
      </w:r>
      <w:r w:rsidRPr="003C0B81">
        <w:rPr>
          <w:rFonts w:eastAsia="Times New Roman" w:cs="Times New Roman"/>
          <w:b/>
        </w:rPr>
        <w:t>:</w:t>
      </w:r>
    </w:p>
    <w:p w14:paraId="37A87EC0" w14:textId="77777777" w:rsidR="008367AD" w:rsidRDefault="008367AD" w:rsidP="00FC5B58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14:paraId="561368F6" w14:textId="3CC7F44D" w:rsidR="003C0B81" w:rsidRDefault="005C2E95" w:rsidP="003C0B81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 w:rsidRPr="003C0B81">
        <w:rPr>
          <w:rFonts w:eastAsia="Times New Roman" w:cs="Times New Roman"/>
        </w:rPr>
        <w:t xml:space="preserve">A FLAIR disbursement is entered containing the 5-digit contract ID. The JROs provide the contract ID on the batch sheet. </w:t>
      </w:r>
    </w:p>
    <w:p w14:paraId="41AE7DB5" w14:textId="77777777" w:rsidR="003C0B81" w:rsidRDefault="00781B93" w:rsidP="001A6014">
      <w:pPr>
        <w:pStyle w:val="ListParagraph"/>
        <w:spacing w:after="0" w:line="240" w:lineRule="auto"/>
        <w:ind w:firstLine="360"/>
        <w:rPr>
          <w:rFonts w:eastAsia="Times New Roman" w:cs="Times New Roman"/>
        </w:rPr>
      </w:pPr>
      <w:r w:rsidRPr="00781B93">
        <w:rPr>
          <w:rFonts w:eastAsia="Times New Roman" w:cs="Times New Roman"/>
          <w:noProof/>
        </w:rPr>
        <w:drawing>
          <wp:inline distT="0" distB="0" distL="0" distR="0" wp14:anchorId="39025795" wp14:editId="29E6BE8E">
            <wp:extent cx="5403850" cy="1241269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4402" cy="128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96883" w14:textId="77777777" w:rsidR="001A6014" w:rsidRDefault="001A6014" w:rsidP="003C0B81">
      <w:pPr>
        <w:pStyle w:val="ListParagraph"/>
        <w:spacing w:after="0" w:line="240" w:lineRule="auto"/>
        <w:ind w:firstLine="450"/>
        <w:rPr>
          <w:rFonts w:eastAsia="Times New Roman" w:cs="Times New Roman"/>
        </w:rPr>
      </w:pPr>
    </w:p>
    <w:p w14:paraId="0FCB48AD" w14:textId="5DF40856" w:rsidR="001A6014" w:rsidRDefault="001A6014" w:rsidP="001A6014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Voucher Schedule will contain the contract </w:t>
      </w:r>
      <w:r w:rsidR="00F63348">
        <w:rPr>
          <w:rFonts w:eastAsia="Times New Roman" w:cs="Times New Roman"/>
        </w:rPr>
        <w:t>ID</w:t>
      </w:r>
      <w:r w:rsidR="009E001B">
        <w:rPr>
          <w:rFonts w:eastAsia="Times New Roman" w:cs="Times New Roman"/>
        </w:rPr>
        <w:t>.</w:t>
      </w:r>
    </w:p>
    <w:p w14:paraId="04AFDB95" w14:textId="77777777" w:rsidR="001A6014" w:rsidRDefault="001A6014" w:rsidP="001A6014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  <w:r w:rsidRPr="001A6014">
        <w:rPr>
          <w:rFonts w:eastAsia="Times New Roman" w:cs="Times New Roman"/>
          <w:noProof/>
        </w:rPr>
        <w:drawing>
          <wp:inline distT="0" distB="0" distL="0" distR="0" wp14:anchorId="142915BF" wp14:editId="0733F0CB">
            <wp:extent cx="5359400" cy="15665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2394" cy="159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A896" w14:textId="77777777" w:rsidR="001A6014" w:rsidRDefault="001A6014" w:rsidP="001A6014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145B6AF2" w14:textId="6F0C5E44" w:rsidR="001A6014" w:rsidRPr="001A6014" w:rsidRDefault="001A6014" w:rsidP="001A6014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 w:rsidRPr="001A6014">
        <w:rPr>
          <w:rFonts w:eastAsia="Times New Roman" w:cs="Times New Roman"/>
        </w:rPr>
        <w:t xml:space="preserve">A FLAIR </w:t>
      </w:r>
      <w:r>
        <w:rPr>
          <w:rFonts w:eastAsia="Times New Roman" w:cs="Times New Roman"/>
        </w:rPr>
        <w:t>receipt (</w:t>
      </w:r>
      <w:r w:rsidRPr="001A6014">
        <w:rPr>
          <w:rFonts w:eastAsia="Times New Roman" w:cs="Times New Roman"/>
        </w:rPr>
        <w:t>deposit</w:t>
      </w:r>
      <w:r>
        <w:rPr>
          <w:rFonts w:eastAsia="Times New Roman" w:cs="Times New Roman"/>
        </w:rPr>
        <w:t xml:space="preserve">) entry is keyed using </w:t>
      </w:r>
      <w:r w:rsidRPr="001A6014">
        <w:rPr>
          <w:rFonts w:eastAsia="Times New Roman" w:cs="Times New Roman"/>
        </w:rPr>
        <w:t>ORG/EO</w:t>
      </w:r>
      <w:r w:rsidR="00114A77">
        <w:rPr>
          <w:rFonts w:eastAsia="Times New Roman" w:cs="Times New Roman"/>
        </w:rPr>
        <w:t>, and the Grant ID can be tied to it</w:t>
      </w:r>
      <w:r>
        <w:rPr>
          <w:rFonts w:eastAsia="Times New Roman" w:cs="Times New Roman"/>
        </w:rPr>
        <w:t xml:space="preserve">. </w:t>
      </w:r>
      <w:r w:rsidR="00910432">
        <w:rPr>
          <w:rFonts w:eastAsia="Times New Roman" w:cs="Times New Roman"/>
        </w:rPr>
        <w:t>If t</w:t>
      </w:r>
      <w:r>
        <w:rPr>
          <w:rFonts w:eastAsia="Times New Roman" w:cs="Times New Roman"/>
        </w:rPr>
        <w:t>he Grant ID</w:t>
      </w:r>
      <w:r w:rsidR="00910432">
        <w:rPr>
          <w:rFonts w:eastAsia="Times New Roman" w:cs="Times New Roman"/>
        </w:rPr>
        <w:t xml:space="preserve"> is part of the ORG/EO setup, it</w:t>
      </w:r>
      <w:r>
        <w:rPr>
          <w:rFonts w:eastAsia="Times New Roman" w:cs="Times New Roman"/>
        </w:rPr>
        <w:t xml:space="preserve"> will automatically be populated</w:t>
      </w:r>
      <w:r w:rsidR="00910432">
        <w:rPr>
          <w:rFonts w:eastAsia="Times New Roman" w:cs="Times New Roman"/>
        </w:rPr>
        <w:t xml:space="preserve"> on deposits</w:t>
      </w:r>
      <w:r w:rsidR="002C3AB4">
        <w:rPr>
          <w:rFonts w:eastAsia="Times New Roman" w:cs="Times New Roman"/>
        </w:rPr>
        <w:t>.</w:t>
      </w:r>
    </w:p>
    <w:p w14:paraId="12228156" w14:textId="77777777" w:rsidR="001A6014" w:rsidRPr="001A6014" w:rsidRDefault="001A6014" w:rsidP="001A6014">
      <w:pPr>
        <w:spacing w:after="0" w:line="240" w:lineRule="auto"/>
        <w:ind w:firstLine="1080"/>
        <w:rPr>
          <w:rFonts w:eastAsia="Times New Roman" w:cs="Times New Roman"/>
        </w:rPr>
      </w:pPr>
    </w:p>
    <w:p w14:paraId="50C8754A" w14:textId="77777777" w:rsidR="00FC5B58" w:rsidRDefault="00FC5B58" w:rsidP="001A601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354888CD" w14:textId="77777777" w:rsidR="001A6014" w:rsidRPr="001A6014" w:rsidRDefault="003C0B81" w:rsidP="001A601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1A6014">
        <w:rPr>
          <w:rFonts w:eastAsia="Times New Roman" w:cs="Times New Roman"/>
          <w:b/>
        </w:rPr>
        <w:lastRenderedPageBreak/>
        <w:t xml:space="preserve">How is the contract ID used in BOMS?  </w:t>
      </w:r>
    </w:p>
    <w:p w14:paraId="3AB4F00C" w14:textId="77777777" w:rsidR="00FC5B58" w:rsidRDefault="00FC5B58" w:rsidP="00FC5B58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4A69D274" w14:textId="77777777" w:rsidR="00FC5B58" w:rsidRDefault="00F62A5E" w:rsidP="00FC5B58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 w:rsidRPr="00FC5B58">
        <w:rPr>
          <w:rFonts w:eastAsia="Times New Roman" w:cs="Times New Roman"/>
        </w:rPr>
        <w:t xml:space="preserve">The FACTS Contract number can be added to the BOMS authorization. </w:t>
      </w:r>
    </w:p>
    <w:p w14:paraId="58BB7AAA" w14:textId="77777777" w:rsidR="00FC5B58" w:rsidRDefault="00FC5B58" w:rsidP="00FC5B58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  <w:r w:rsidRPr="00F62A5E">
        <w:rPr>
          <w:noProof/>
        </w:rPr>
        <w:drawing>
          <wp:inline distT="0" distB="0" distL="0" distR="0" wp14:anchorId="6EA95C42" wp14:editId="724538E0">
            <wp:extent cx="3854450" cy="150211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8076" cy="154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B363" w14:textId="77777777" w:rsidR="00FC5B58" w:rsidRPr="00FC5B58" w:rsidRDefault="00FC5B58" w:rsidP="00FC5B58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44B79875" w14:textId="77777777" w:rsidR="001A6014" w:rsidRDefault="00FC5B58" w:rsidP="001A6014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The ID</w:t>
      </w:r>
      <w:r w:rsidR="00CE1A01" w:rsidRPr="001A6014">
        <w:rPr>
          <w:rFonts w:eastAsia="Times New Roman" w:cs="Times New Roman"/>
        </w:rPr>
        <w:t xml:space="preserve"> will be printed in the Special Instructions box on the authorization</w:t>
      </w:r>
      <w:r w:rsidR="00786775">
        <w:rPr>
          <w:rFonts w:eastAsia="Times New Roman" w:cs="Times New Roman"/>
        </w:rPr>
        <w:t>.</w:t>
      </w:r>
    </w:p>
    <w:p w14:paraId="5260A2E2" w14:textId="77777777" w:rsidR="00F62A5E" w:rsidRPr="001A6014" w:rsidRDefault="00FC5B58" w:rsidP="001A6014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The ID</w:t>
      </w:r>
      <w:r w:rsidR="00F62A5E" w:rsidRPr="001A6014">
        <w:rPr>
          <w:rFonts w:eastAsia="Times New Roman" w:cs="Times New Roman"/>
        </w:rPr>
        <w:t xml:space="preserve"> will automatically be added to the Invoice Header record.  </w:t>
      </w:r>
    </w:p>
    <w:p w14:paraId="6055A4E5" w14:textId="77777777" w:rsidR="00F62A5E" w:rsidRDefault="00F62A5E" w:rsidP="003C0B81">
      <w:pPr>
        <w:pStyle w:val="ListParagraph"/>
        <w:spacing w:after="0" w:line="240" w:lineRule="auto"/>
        <w:ind w:left="1440" w:firstLine="360"/>
        <w:rPr>
          <w:rFonts w:eastAsia="Times New Roman" w:cs="Times New Roman"/>
        </w:rPr>
      </w:pPr>
    </w:p>
    <w:p w14:paraId="50A3DB81" w14:textId="77777777" w:rsidR="00781B93" w:rsidRDefault="00781B93" w:rsidP="00F62A5E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928B66F" w14:textId="77777777" w:rsidR="004E487D" w:rsidRPr="00FC5B58" w:rsidRDefault="00F62A5E" w:rsidP="00FC5B58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 w:rsidRPr="00FC5B58">
        <w:rPr>
          <w:rFonts w:eastAsia="Times New Roman" w:cs="Times New Roman"/>
        </w:rPr>
        <w:t>When populating the Invoice Header, the FACTS contract number field can also be added or updated when needed</w:t>
      </w:r>
    </w:p>
    <w:p w14:paraId="69EBA09B" w14:textId="77777777" w:rsidR="00781B93" w:rsidRDefault="00781B93" w:rsidP="00781B93">
      <w:pPr>
        <w:pStyle w:val="ListParagraph"/>
        <w:spacing w:after="0" w:line="240" w:lineRule="auto"/>
        <w:ind w:left="1440" w:firstLine="720"/>
        <w:rPr>
          <w:rFonts w:eastAsia="Times New Roman" w:cs="Times New Roman"/>
        </w:rPr>
      </w:pPr>
    </w:p>
    <w:p w14:paraId="0F7D43D0" w14:textId="77777777" w:rsidR="00781B93" w:rsidRDefault="00F62A5E" w:rsidP="00595B13">
      <w:pPr>
        <w:pStyle w:val="ListParagraph"/>
        <w:spacing w:after="0" w:line="240" w:lineRule="auto"/>
        <w:ind w:left="1440" w:firstLine="720"/>
        <w:rPr>
          <w:rFonts w:eastAsia="Times New Roman" w:cs="Times New Roman"/>
        </w:rPr>
      </w:pPr>
      <w:r w:rsidRPr="00F62A5E">
        <w:rPr>
          <w:rFonts w:eastAsia="Times New Roman" w:cs="Times New Roman"/>
          <w:noProof/>
        </w:rPr>
        <w:drawing>
          <wp:inline distT="0" distB="0" distL="0" distR="0" wp14:anchorId="64A3CE9A" wp14:editId="7B39D311">
            <wp:extent cx="3305636" cy="3524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B93" w:rsidRPr="00781B93">
        <w:rPr>
          <w:rFonts w:eastAsia="Times New Roman" w:cs="Times New Roman"/>
        </w:rPr>
        <w:t xml:space="preserve"> </w:t>
      </w:r>
    </w:p>
    <w:p w14:paraId="539F2C72" w14:textId="77777777" w:rsidR="00FC5B58" w:rsidRDefault="00FC5B58" w:rsidP="00595B13">
      <w:pPr>
        <w:pStyle w:val="ListParagraph"/>
        <w:spacing w:after="0" w:line="240" w:lineRule="auto"/>
        <w:ind w:left="1440" w:firstLine="720"/>
        <w:rPr>
          <w:rFonts w:eastAsia="Times New Roman" w:cs="Times New Roman"/>
        </w:rPr>
      </w:pPr>
    </w:p>
    <w:p w14:paraId="1C78FFDC" w14:textId="77777777" w:rsidR="001A6014" w:rsidRDefault="00781B93" w:rsidP="001A601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1A6014">
        <w:rPr>
          <w:rFonts w:eastAsia="Times New Roman" w:cs="Times New Roman"/>
          <w:b/>
        </w:rPr>
        <w:t>What if a batch was missing the FACT 5-digit contract ID?</w:t>
      </w:r>
    </w:p>
    <w:p w14:paraId="68FC6AB8" w14:textId="77777777" w:rsidR="00FC5B58" w:rsidRPr="00FC5B58" w:rsidRDefault="00FC5B58" w:rsidP="00FC5B58">
      <w:pPr>
        <w:pStyle w:val="ListParagraph"/>
        <w:spacing w:after="0" w:line="240" w:lineRule="auto"/>
        <w:ind w:left="1080"/>
        <w:rPr>
          <w:rFonts w:eastAsia="Times New Roman" w:cs="Times New Roman"/>
          <w:b/>
        </w:rPr>
      </w:pPr>
    </w:p>
    <w:p w14:paraId="3696FFD8" w14:textId="48893D94" w:rsidR="001A6014" w:rsidRPr="00FC5B58" w:rsidRDefault="00CE1A01" w:rsidP="001A6014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  <w:b/>
        </w:rPr>
      </w:pPr>
      <w:r w:rsidRPr="001A6014">
        <w:rPr>
          <w:rFonts w:eastAsia="Times New Roman" w:cs="Times New Roman"/>
        </w:rPr>
        <w:t>For corrections needed for current fiscal year payments</w:t>
      </w:r>
      <w:r w:rsidR="00BD0277">
        <w:rPr>
          <w:rFonts w:eastAsia="Times New Roman" w:cs="Times New Roman"/>
        </w:rPr>
        <w:t>, n</w:t>
      </w:r>
      <w:r w:rsidR="009E001B">
        <w:rPr>
          <w:rFonts w:eastAsia="Times New Roman" w:cs="Times New Roman"/>
        </w:rPr>
        <w:t>otify</w:t>
      </w:r>
      <w:r w:rsidR="00781B93" w:rsidRPr="001A6014">
        <w:rPr>
          <w:rFonts w:eastAsia="Times New Roman" w:cs="Times New Roman"/>
        </w:rPr>
        <w:t xml:space="preserve"> Accounting </w:t>
      </w:r>
      <w:r w:rsidRPr="001A6014">
        <w:rPr>
          <w:rFonts w:eastAsia="Times New Roman" w:cs="Times New Roman"/>
        </w:rPr>
        <w:t xml:space="preserve">that a correction is </w:t>
      </w:r>
      <w:r w:rsidR="009E001B">
        <w:rPr>
          <w:rFonts w:eastAsia="Times New Roman" w:cs="Times New Roman"/>
        </w:rPr>
        <w:t>needed</w:t>
      </w:r>
      <w:r w:rsidRPr="001A6014">
        <w:rPr>
          <w:rFonts w:eastAsia="Times New Roman" w:cs="Times New Roman"/>
        </w:rPr>
        <w:t>. Accounting will need the voucher number, the vendor, the FACTS contract ID, and the amount that should be added to FACTS.</w:t>
      </w:r>
    </w:p>
    <w:p w14:paraId="59E1C3A1" w14:textId="77777777" w:rsidR="00FC5B58" w:rsidRPr="001A6014" w:rsidRDefault="00FC5B58" w:rsidP="00FC5B58">
      <w:pPr>
        <w:pStyle w:val="ListParagraph"/>
        <w:spacing w:after="0" w:line="240" w:lineRule="auto"/>
        <w:ind w:left="1080"/>
        <w:rPr>
          <w:rFonts w:eastAsia="Times New Roman" w:cs="Times New Roman"/>
          <w:b/>
        </w:rPr>
      </w:pPr>
    </w:p>
    <w:p w14:paraId="451AE03D" w14:textId="77777777" w:rsidR="00CE1A01" w:rsidRPr="001A6014" w:rsidRDefault="00CE1A01" w:rsidP="001A6014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  <w:b/>
        </w:rPr>
      </w:pPr>
      <w:r w:rsidRPr="001A6014">
        <w:rPr>
          <w:rFonts w:eastAsia="Times New Roman" w:cs="Times New Roman"/>
        </w:rPr>
        <w:t>For corrections needed for prior fiscal year payments, discuss with Tim Tice or Dina Kamen.</w:t>
      </w:r>
    </w:p>
    <w:p w14:paraId="33195B74" w14:textId="77777777" w:rsidR="00CE1A01" w:rsidRDefault="00CE1A01" w:rsidP="00CE1A01">
      <w:pPr>
        <w:spacing w:after="0" w:line="240" w:lineRule="auto"/>
        <w:rPr>
          <w:rFonts w:eastAsia="Times New Roman" w:cs="Times New Roman"/>
        </w:rPr>
      </w:pPr>
    </w:p>
    <w:p w14:paraId="6ED63C11" w14:textId="77777777" w:rsidR="001A6014" w:rsidRDefault="00CE1A01" w:rsidP="001A601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</w:rPr>
      </w:pPr>
      <w:r w:rsidRPr="001A6014">
        <w:rPr>
          <w:rFonts w:eastAsia="Times New Roman" w:cs="Times New Roman"/>
          <w:b/>
        </w:rPr>
        <w:t xml:space="preserve">Why is it important to put contracts and payments in FACTS?  </w:t>
      </w:r>
    </w:p>
    <w:p w14:paraId="2BCB4A98" w14:textId="77777777" w:rsidR="00FC5B58" w:rsidRDefault="00FC5B58" w:rsidP="00FC5B58">
      <w:pPr>
        <w:pStyle w:val="ListParagraph"/>
        <w:spacing w:after="0" w:line="240" w:lineRule="auto"/>
        <w:rPr>
          <w:rFonts w:eastAsia="Times New Roman" w:cs="Times New Roman"/>
          <w:b/>
        </w:rPr>
      </w:pPr>
    </w:p>
    <w:p w14:paraId="30F96AC8" w14:textId="217DB37D" w:rsidR="001A6014" w:rsidRDefault="00114A77" w:rsidP="001A6014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The Statute</w:t>
      </w:r>
      <w:proofErr w:type="gramEnd"/>
      <w:r>
        <w:rPr>
          <w:rFonts w:eastAsia="Times New Roman" w:cs="Times New Roman"/>
        </w:rPr>
        <w:t xml:space="preserve"> requires it</w:t>
      </w:r>
      <w:r w:rsidR="00786775">
        <w:rPr>
          <w:rFonts w:eastAsia="Times New Roman" w:cs="Times New Roman"/>
        </w:rPr>
        <w:t>.</w:t>
      </w:r>
    </w:p>
    <w:p w14:paraId="6B825205" w14:textId="77777777" w:rsidR="00FC5B58" w:rsidRDefault="00FC5B58" w:rsidP="00FC5B58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01918215" w14:textId="77777777" w:rsidR="001A6014" w:rsidRDefault="00CE1A01" w:rsidP="001A6014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 w:rsidRPr="001A6014">
        <w:rPr>
          <w:rFonts w:eastAsia="Times New Roman" w:cs="Times New Roman"/>
        </w:rPr>
        <w:t>DFS performs contract reviews and post-audit payment reviews.</w:t>
      </w:r>
    </w:p>
    <w:p w14:paraId="46380146" w14:textId="77777777" w:rsidR="00FC5B58" w:rsidRDefault="00FC5B58" w:rsidP="00FC5B58">
      <w:pPr>
        <w:pStyle w:val="ListParagraph"/>
        <w:spacing w:after="0" w:line="240" w:lineRule="auto"/>
        <w:ind w:left="1080"/>
        <w:rPr>
          <w:rFonts w:eastAsia="Times New Roman" w:cs="Times New Roman"/>
        </w:rPr>
      </w:pPr>
    </w:p>
    <w:p w14:paraId="6D95A342" w14:textId="6E5B8FA9" w:rsidR="00CE1A01" w:rsidRDefault="00595B13" w:rsidP="001A6014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DFS reviews all payments over $10,000 and samples payments. During </w:t>
      </w:r>
      <w:r w:rsidR="009E001B">
        <w:rPr>
          <w:rFonts w:eastAsia="Times New Roman" w:cs="Times New Roman"/>
        </w:rPr>
        <w:t xml:space="preserve">the </w:t>
      </w:r>
      <w:r w:rsidR="00CE1A01" w:rsidRPr="001A6014">
        <w:rPr>
          <w:rFonts w:eastAsia="Times New Roman" w:cs="Times New Roman"/>
        </w:rPr>
        <w:t xml:space="preserve">DFS </w:t>
      </w:r>
      <w:r>
        <w:rPr>
          <w:rFonts w:eastAsia="Times New Roman" w:cs="Times New Roman"/>
        </w:rPr>
        <w:t xml:space="preserve">audit, they </w:t>
      </w:r>
      <w:r w:rsidR="00CE1A01" w:rsidRPr="001A6014">
        <w:rPr>
          <w:rFonts w:eastAsia="Times New Roman" w:cs="Times New Roman"/>
        </w:rPr>
        <w:t xml:space="preserve">can refuse </w:t>
      </w:r>
      <w:r>
        <w:rPr>
          <w:rFonts w:eastAsia="Times New Roman" w:cs="Times New Roman"/>
        </w:rPr>
        <w:t xml:space="preserve">or delay </w:t>
      </w:r>
      <w:r w:rsidR="00CE1A01" w:rsidRPr="001A6014">
        <w:rPr>
          <w:rFonts w:eastAsia="Times New Roman" w:cs="Times New Roman"/>
        </w:rPr>
        <w:t xml:space="preserve">payment if they feel FACTS </w:t>
      </w:r>
      <w:proofErr w:type="gramStart"/>
      <w:r w:rsidR="00CE1A01" w:rsidRPr="001A6014">
        <w:rPr>
          <w:rFonts w:eastAsia="Times New Roman" w:cs="Times New Roman"/>
        </w:rPr>
        <w:t>is</w:t>
      </w:r>
      <w:proofErr w:type="gramEnd"/>
      <w:r w:rsidR="00CE1A01" w:rsidRPr="001A6014">
        <w:rPr>
          <w:rFonts w:eastAsia="Times New Roman" w:cs="Times New Roman"/>
        </w:rPr>
        <w:t xml:space="preserve"> </w:t>
      </w:r>
      <w:r w:rsidR="009E001B">
        <w:rPr>
          <w:rFonts w:eastAsia="Times New Roman" w:cs="Times New Roman"/>
        </w:rPr>
        <w:t>inaccurate</w:t>
      </w:r>
      <w:r w:rsidR="00CE1A01" w:rsidRPr="001A6014">
        <w:rPr>
          <w:rFonts w:eastAsia="Times New Roman" w:cs="Times New Roman"/>
        </w:rPr>
        <w:t>.</w:t>
      </w:r>
    </w:p>
    <w:p w14:paraId="20A51590" w14:textId="77777777" w:rsidR="00595B13" w:rsidRPr="00595B13" w:rsidRDefault="00595B13" w:rsidP="00595B13">
      <w:pPr>
        <w:spacing w:after="0" w:line="240" w:lineRule="auto"/>
        <w:ind w:left="720"/>
        <w:rPr>
          <w:rFonts w:eastAsia="Times New Roman" w:cs="Times New Roman"/>
        </w:rPr>
      </w:pPr>
    </w:p>
    <w:p w14:paraId="7838EF14" w14:textId="77777777" w:rsidR="005C2E95" w:rsidRPr="00595B13" w:rsidRDefault="00595B13" w:rsidP="005C2E9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595B13">
        <w:rPr>
          <w:rFonts w:eastAsia="Times New Roman" w:cs="Times New Roman"/>
          <w:b/>
        </w:rPr>
        <w:t>A</w:t>
      </w:r>
      <w:r w:rsidR="005C2E95" w:rsidRPr="00595B13">
        <w:rPr>
          <w:rFonts w:eastAsia="Times New Roman" w:cs="Times New Roman"/>
          <w:b/>
        </w:rPr>
        <w:t>dditional information</w:t>
      </w:r>
      <w:r w:rsidRPr="00595B13">
        <w:rPr>
          <w:rFonts w:eastAsia="Times New Roman" w:cs="Times New Roman"/>
          <w:b/>
        </w:rPr>
        <w:t xml:space="preserve"> can be found on the</w:t>
      </w:r>
      <w:r>
        <w:rPr>
          <w:rFonts w:eastAsia="Times New Roman" w:cs="Times New Roman"/>
        </w:rPr>
        <w:t xml:space="preserve"> </w:t>
      </w:r>
      <w:hyperlink r:id="rId14" w:history="1">
        <w:r w:rsidRPr="00595B13">
          <w:rPr>
            <w:rStyle w:val="Hyperlink"/>
            <w:rFonts w:eastAsia="Times New Roman" w:cs="Times New Roman"/>
            <w:b/>
          </w:rPr>
          <w:t>FAQ section of the FACTS website</w:t>
        </w:r>
      </w:hyperlink>
      <w:r>
        <w:rPr>
          <w:rFonts w:eastAsia="Times New Roman" w:cs="Times New Roman"/>
        </w:rPr>
        <w:t xml:space="preserve">.  </w:t>
      </w:r>
    </w:p>
    <w:p w14:paraId="3B38D431" w14:textId="77777777" w:rsidR="005C2E95" w:rsidRPr="00AE1958" w:rsidRDefault="005C2E95" w:rsidP="005C2E95">
      <w:pPr>
        <w:spacing w:after="0" w:line="240" w:lineRule="auto"/>
        <w:rPr>
          <w:rFonts w:eastAsia="Times New Roman" w:cs="Times New Roman"/>
        </w:rPr>
      </w:pPr>
    </w:p>
    <w:p w14:paraId="0E313472" w14:textId="77777777" w:rsidR="005C2E95" w:rsidRPr="00AE1958" w:rsidRDefault="005C2E95" w:rsidP="00DF04A6">
      <w:pPr>
        <w:spacing w:after="0" w:line="240" w:lineRule="auto"/>
        <w:rPr>
          <w:rFonts w:eastAsia="Times New Roman" w:cs="Times New Roman"/>
        </w:rPr>
      </w:pPr>
    </w:p>
    <w:p w14:paraId="10B5A853" w14:textId="77777777" w:rsidR="00EB6766" w:rsidRDefault="00EB6766" w:rsidP="00DF04A6">
      <w:pPr>
        <w:spacing w:after="0"/>
      </w:pPr>
    </w:p>
    <w:sectPr w:rsidR="00EB6766" w:rsidSect="008367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50E"/>
    <w:multiLevelType w:val="hybridMultilevel"/>
    <w:tmpl w:val="79F2B738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302"/>
    <w:multiLevelType w:val="hybridMultilevel"/>
    <w:tmpl w:val="19FC3F26"/>
    <w:lvl w:ilvl="0" w:tplc="0409000F">
      <w:start w:val="1"/>
      <w:numFmt w:val="decimal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10EF5EFD"/>
    <w:multiLevelType w:val="hybridMultilevel"/>
    <w:tmpl w:val="25EC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3956"/>
    <w:multiLevelType w:val="hybridMultilevel"/>
    <w:tmpl w:val="D540A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323A8"/>
    <w:multiLevelType w:val="hybridMultilevel"/>
    <w:tmpl w:val="586694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2A56"/>
    <w:multiLevelType w:val="hybridMultilevel"/>
    <w:tmpl w:val="CF023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7D4D53"/>
    <w:multiLevelType w:val="hybridMultilevel"/>
    <w:tmpl w:val="F0A46E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4700A"/>
    <w:multiLevelType w:val="hybridMultilevel"/>
    <w:tmpl w:val="D17E788C"/>
    <w:lvl w:ilvl="0" w:tplc="17428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E7EB3"/>
    <w:multiLevelType w:val="hybridMultilevel"/>
    <w:tmpl w:val="F274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7347"/>
    <w:multiLevelType w:val="hybridMultilevel"/>
    <w:tmpl w:val="7C8C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C5E5E"/>
    <w:multiLevelType w:val="hybridMultilevel"/>
    <w:tmpl w:val="D67627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9A0925"/>
    <w:multiLevelType w:val="hybridMultilevel"/>
    <w:tmpl w:val="E6DC29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2FEC"/>
    <w:multiLevelType w:val="hybridMultilevel"/>
    <w:tmpl w:val="676E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396"/>
    <w:multiLevelType w:val="hybridMultilevel"/>
    <w:tmpl w:val="84AAD8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56532"/>
    <w:multiLevelType w:val="hybridMultilevel"/>
    <w:tmpl w:val="F69A3B0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 w15:restartNumberingAfterBreak="0">
    <w:nsid w:val="61E6793E"/>
    <w:multiLevelType w:val="hybridMultilevel"/>
    <w:tmpl w:val="46C442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2005C5F"/>
    <w:multiLevelType w:val="hybridMultilevel"/>
    <w:tmpl w:val="D7C6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06A65"/>
    <w:multiLevelType w:val="hybridMultilevel"/>
    <w:tmpl w:val="D9AC27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A43B1"/>
    <w:multiLevelType w:val="hybridMultilevel"/>
    <w:tmpl w:val="E610B12A"/>
    <w:lvl w:ilvl="0" w:tplc="C534F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9493C"/>
    <w:multiLevelType w:val="hybridMultilevel"/>
    <w:tmpl w:val="AD702E30"/>
    <w:lvl w:ilvl="0" w:tplc="1F5C6B2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10344CA"/>
    <w:multiLevelType w:val="hybridMultilevel"/>
    <w:tmpl w:val="15C0DD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6345C"/>
    <w:multiLevelType w:val="hybridMultilevel"/>
    <w:tmpl w:val="BE24FD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F4DA1"/>
    <w:multiLevelType w:val="hybridMultilevel"/>
    <w:tmpl w:val="D2E2D3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754275">
    <w:abstractNumId w:val="15"/>
  </w:num>
  <w:num w:numId="2" w16cid:durableId="667485612">
    <w:abstractNumId w:val="2"/>
  </w:num>
  <w:num w:numId="3" w16cid:durableId="992370958">
    <w:abstractNumId w:val="14"/>
  </w:num>
  <w:num w:numId="4" w16cid:durableId="714430110">
    <w:abstractNumId w:val="9"/>
  </w:num>
  <w:num w:numId="5" w16cid:durableId="2091196418">
    <w:abstractNumId w:val="16"/>
  </w:num>
  <w:num w:numId="6" w16cid:durableId="1412115677">
    <w:abstractNumId w:val="8"/>
  </w:num>
  <w:num w:numId="7" w16cid:durableId="222982401">
    <w:abstractNumId w:val="20"/>
  </w:num>
  <w:num w:numId="8" w16cid:durableId="2121609202">
    <w:abstractNumId w:val="11"/>
  </w:num>
  <w:num w:numId="9" w16cid:durableId="862406248">
    <w:abstractNumId w:val="22"/>
  </w:num>
  <w:num w:numId="10" w16cid:durableId="999117237">
    <w:abstractNumId w:val="17"/>
  </w:num>
  <w:num w:numId="11" w16cid:durableId="1157766816">
    <w:abstractNumId w:val="0"/>
  </w:num>
  <w:num w:numId="12" w16cid:durableId="2061590107">
    <w:abstractNumId w:val="21"/>
  </w:num>
  <w:num w:numId="13" w16cid:durableId="949893535">
    <w:abstractNumId w:val="12"/>
  </w:num>
  <w:num w:numId="14" w16cid:durableId="172452401">
    <w:abstractNumId w:val="10"/>
  </w:num>
  <w:num w:numId="15" w16cid:durableId="1982927638">
    <w:abstractNumId w:val="6"/>
  </w:num>
  <w:num w:numId="16" w16cid:durableId="1640453420">
    <w:abstractNumId w:val="19"/>
  </w:num>
  <w:num w:numId="17" w16cid:durableId="43453197">
    <w:abstractNumId w:val="3"/>
  </w:num>
  <w:num w:numId="18" w16cid:durableId="762338126">
    <w:abstractNumId w:val="4"/>
  </w:num>
  <w:num w:numId="19" w16cid:durableId="1651056445">
    <w:abstractNumId w:val="13"/>
  </w:num>
  <w:num w:numId="20" w16cid:durableId="1767261067">
    <w:abstractNumId w:val="1"/>
  </w:num>
  <w:num w:numId="21" w16cid:durableId="1118183238">
    <w:abstractNumId w:val="5"/>
  </w:num>
  <w:num w:numId="22" w16cid:durableId="502017662">
    <w:abstractNumId w:val="7"/>
  </w:num>
  <w:num w:numId="23" w16cid:durableId="9778019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A6"/>
    <w:rsid w:val="00114A77"/>
    <w:rsid w:val="001A6014"/>
    <w:rsid w:val="002C17DD"/>
    <w:rsid w:val="002C3AB4"/>
    <w:rsid w:val="00310425"/>
    <w:rsid w:val="003C0B81"/>
    <w:rsid w:val="004E487D"/>
    <w:rsid w:val="00595B13"/>
    <w:rsid w:val="005C2E95"/>
    <w:rsid w:val="00602303"/>
    <w:rsid w:val="006B686E"/>
    <w:rsid w:val="00781B93"/>
    <w:rsid w:val="00783F63"/>
    <w:rsid w:val="00786775"/>
    <w:rsid w:val="0079140C"/>
    <w:rsid w:val="008367AD"/>
    <w:rsid w:val="00910432"/>
    <w:rsid w:val="009E001B"/>
    <w:rsid w:val="00A10A1D"/>
    <w:rsid w:val="00B33889"/>
    <w:rsid w:val="00BD0277"/>
    <w:rsid w:val="00C42C40"/>
    <w:rsid w:val="00CB0AD0"/>
    <w:rsid w:val="00CE1A01"/>
    <w:rsid w:val="00D02038"/>
    <w:rsid w:val="00DA5178"/>
    <w:rsid w:val="00DF04A6"/>
    <w:rsid w:val="00EA1A57"/>
    <w:rsid w:val="00EB6766"/>
    <w:rsid w:val="00EF78AF"/>
    <w:rsid w:val="00F20C3B"/>
    <w:rsid w:val="00F62A5E"/>
    <w:rsid w:val="00F63348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9F62"/>
  <w15:chartTrackingRefBased/>
  <w15:docId w15:val="{D8B2ACDB-AA34-4C41-8885-60503B7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4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4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4A7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4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inancialservices@justiceadmin.org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leg.state.fl.us/STATUTES/index.cfm?App_mode=Display_Statute&amp;Search_String=&amp;URL=0200-0299/0215/Sections/0215.985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yfloridacfo.com/factshelp/facts-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771</Words>
  <Characters>4193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Nona</dc:creator>
  <cp:keywords/>
  <dc:description/>
  <cp:lastModifiedBy>McCall, Nona</cp:lastModifiedBy>
  <cp:revision>4</cp:revision>
  <dcterms:created xsi:type="dcterms:W3CDTF">2024-09-16T13:18:00Z</dcterms:created>
  <dcterms:modified xsi:type="dcterms:W3CDTF">2025-06-25T17:25:00Z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85b61943-bae6-4aa0-bff7-f6596f7f6eef</vt:lpwstr>
  </property>
</Properties>
</file>